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E3024C" w:rsidP="000D0B83">
      <w:pPr>
        <w:pStyle w:val="23"/>
        <w:tabs>
          <w:tab w:val="left" w:pos="2268"/>
        </w:tabs>
        <w:jc w:val="right"/>
        <w:rPr>
          <w:b/>
          <w:sz w:val="24"/>
          <w:szCs w:val="24"/>
          <w:lang w:val="kk-KZ"/>
        </w:rPr>
      </w:pPr>
      <w:r>
        <w:rPr>
          <w:b/>
          <w:sz w:val="24"/>
          <w:szCs w:val="24"/>
        </w:rPr>
        <w:t>приказом</w:t>
      </w:r>
      <w:r w:rsidR="000D0B83">
        <w:rPr>
          <w:b/>
          <w:sz w:val="24"/>
          <w:szCs w:val="24"/>
          <w:lang w:val="kk-KZ"/>
        </w:rPr>
        <w:t xml:space="preserve"> директор</w:t>
      </w:r>
      <w:r w:rsidR="007B46E8">
        <w:rPr>
          <w:b/>
          <w:sz w:val="24"/>
          <w:szCs w:val="24"/>
          <w:lang w:val="kk-KZ"/>
        </w:rPr>
        <w:t>а</w:t>
      </w:r>
    </w:p>
    <w:p w:rsidR="000D0B83" w:rsidRPr="001D495A" w:rsidRDefault="00E3024C" w:rsidP="000D0B83">
      <w:pPr>
        <w:pStyle w:val="23"/>
        <w:tabs>
          <w:tab w:val="left" w:pos="2268"/>
        </w:tabs>
        <w:jc w:val="right"/>
        <w:rPr>
          <w:b/>
        </w:rPr>
      </w:pPr>
      <w:r>
        <w:rPr>
          <w:b/>
          <w:sz w:val="24"/>
          <w:szCs w:val="24"/>
          <w:lang w:val="kk-KZ"/>
        </w:rPr>
        <w:t xml:space="preserve">филиала «Степное-РУ» </w:t>
      </w:r>
      <w:r w:rsidR="000D0B83">
        <w:rPr>
          <w:b/>
          <w:sz w:val="24"/>
          <w:szCs w:val="24"/>
          <w:lang w:val="kk-KZ"/>
        </w:rPr>
        <w:t>ТОО</w:t>
      </w:r>
      <w:r w:rsidR="000D0B83" w:rsidRPr="001D495A">
        <w:rPr>
          <w:b/>
          <w:sz w:val="24"/>
          <w:szCs w:val="24"/>
        </w:rPr>
        <w:t xml:space="preserve"> «</w:t>
      </w:r>
      <w:proofErr w:type="spellStart"/>
      <w:r w:rsidR="000D0B83" w:rsidRPr="001D495A">
        <w:rPr>
          <w:b/>
          <w:sz w:val="24"/>
          <w:szCs w:val="24"/>
        </w:rPr>
        <w:t>Казатомпром</w:t>
      </w:r>
      <w:proofErr w:type="spellEnd"/>
      <w:r w:rsidR="000D0B83" w:rsidRPr="00C76A86">
        <w:rPr>
          <w:b/>
          <w:sz w:val="24"/>
          <w:szCs w:val="24"/>
        </w:rPr>
        <w:t>-</w:t>
      </w:r>
      <w:proofErr w:type="spellStart"/>
      <w:r w:rsidR="000D0B83">
        <w:rPr>
          <w:b/>
          <w:sz w:val="24"/>
          <w:szCs w:val="24"/>
          <w:lang w:val="en-US"/>
        </w:rPr>
        <w:t>SaUran</w:t>
      </w:r>
      <w:proofErr w:type="spellEnd"/>
      <w:r w:rsidR="000D0B83" w:rsidRPr="001D495A">
        <w:rPr>
          <w:b/>
          <w:sz w:val="24"/>
          <w:szCs w:val="24"/>
        </w:rPr>
        <w:t xml:space="preserve">» </w:t>
      </w:r>
      <w:r w:rsidR="000D0B83"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E3024C">
        <w:rPr>
          <w:b/>
          <w:sz w:val="24"/>
          <w:szCs w:val="24"/>
        </w:rPr>
        <w:t>января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663B49" w:rsidP="003940EB">
      <w:pPr>
        <w:jc w:val="both"/>
        <w:rPr>
          <w:b/>
        </w:rPr>
      </w:pPr>
      <w:r>
        <w:rPr>
          <w:b/>
        </w:rPr>
        <w:t xml:space="preserve">Товар по закупу </w:t>
      </w:r>
      <w:r>
        <w:rPr>
          <w:b/>
          <w:color w:val="000000"/>
        </w:rPr>
        <w:t>п</w:t>
      </w:r>
      <w:r w:rsidRPr="00663B49">
        <w:rPr>
          <w:b/>
          <w:color w:val="000000"/>
        </w:rPr>
        <w:t>репарат</w:t>
      </w:r>
      <w:r>
        <w:rPr>
          <w:b/>
          <w:color w:val="000000"/>
        </w:rPr>
        <w:t>а</w:t>
      </w:r>
      <w:r w:rsidR="00C92578">
        <w:rPr>
          <w:b/>
          <w:color w:val="000000"/>
        </w:rPr>
        <w:t xml:space="preserve"> гумусовый на основе торф</w:t>
      </w:r>
      <w:r w:rsidRPr="00663B49">
        <w:rPr>
          <w:b/>
          <w:color w:val="000000"/>
        </w:rPr>
        <w:t>а</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hyperlink r:id="rId9" w:history="1">
        <w:r w:rsidR="00663B49" w:rsidRPr="004E3DF8">
          <w:rPr>
            <w:rStyle w:val="a7"/>
            <w:sz w:val="28"/>
            <w:szCs w:val="28"/>
            <w:lang w:val="en-US"/>
          </w:rPr>
          <w:t>NAldasugirov</w:t>
        </w:r>
        <w:r w:rsidR="00663B49" w:rsidRPr="004E3DF8">
          <w:rPr>
            <w:rStyle w:val="a7"/>
            <w:sz w:val="28"/>
            <w:szCs w:val="28"/>
          </w:rPr>
          <w:t>@</w:t>
        </w:r>
        <w:r w:rsidR="00663B49" w:rsidRPr="004E3DF8">
          <w:rPr>
            <w:rStyle w:val="a7"/>
            <w:sz w:val="28"/>
            <w:szCs w:val="28"/>
            <w:lang w:val="en-US"/>
          </w:rPr>
          <w:t>sauran</w:t>
        </w:r>
        <w:r w:rsidR="00663B49" w:rsidRPr="004E3DF8">
          <w:rPr>
            <w:rStyle w:val="a7"/>
            <w:sz w:val="28"/>
            <w:szCs w:val="28"/>
          </w:rPr>
          <w:t>.</w:t>
        </w:r>
        <w:r w:rsidR="00663B49" w:rsidRPr="004E3DF8">
          <w:rPr>
            <w:rStyle w:val="a7"/>
            <w:sz w:val="28"/>
            <w:szCs w:val="28"/>
            <w:lang w:val="en-US"/>
          </w:rPr>
          <w:t>kazatomprom</w:t>
        </w:r>
        <w:r w:rsidR="00663B49" w:rsidRPr="004E3DF8">
          <w:rPr>
            <w:rStyle w:val="a7"/>
            <w:sz w:val="28"/>
            <w:szCs w:val="28"/>
          </w:rPr>
          <w:t>.</w:t>
        </w:r>
        <w:proofErr w:type="spellStart"/>
        <w:r w:rsidR="00663B49" w:rsidRPr="004E3DF8">
          <w:rPr>
            <w:rStyle w:val="a7"/>
            <w:sz w:val="28"/>
            <w:szCs w:val="28"/>
          </w:rPr>
          <w:t>kz</w:t>
        </w:r>
        <w:proofErr w:type="spellEnd"/>
        <w:proofErr w:type="gramStart"/>
      </w:hyperlink>
      <w:r w:rsidR="00663B49">
        <w:rPr>
          <w:b/>
          <w:bCs/>
          <w:sz w:val="28"/>
          <w:szCs w:val="28"/>
        </w:rPr>
        <w:t xml:space="preserve"> </w:t>
      </w:r>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663B49">
        <w:rPr>
          <w:color w:val="000000"/>
        </w:rPr>
        <w:t xml:space="preserve"> (вн.50-055</w:t>
      </w:r>
      <w:r w:rsidR="000D0B83" w:rsidRPr="00E0094D">
        <w:rPr>
          <w:color w:val="000000"/>
        </w:rPr>
        <w:t>)</w:t>
      </w:r>
      <w:r w:rsidR="000D0B83" w:rsidRPr="00E0094D">
        <w:t>.</w:t>
      </w:r>
      <w:proofErr w:type="gramEnd"/>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663B49">
        <w:rPr>
          <w:rFonts w:eastAsia="Calibri"/>
        </w:rPr>
        <w:t>К</w:t>
      </w:r>
      <w:proofErr w:type="gramEnd"/>
      <w:r w:rsidR="00663B49">
        <w:rPr>
          <w:rFonts w:eastAsia="Calibri"/>
        </w:rPr>
        <w:t>ыземшек</w:t>
      </w:r>
      <w:proofErr w:type="spellEnd"/>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663B49">
        <w:rPr>
          <w:b/>
        </w:rPr>
        <w:t xml:space="preserve">Товар по закупу </w:t>
      </w:r>
      <w:r w:rsidR="00663B49">
        <w:rPr>
          <w:b/>
          <w:color w:val="000000"/>
        </w:rPr>
        <w:t>п</w:t>
      </w:r>
      <w:r w:rsidR="00663B49" w:rsidRPr="00663B49">
        <w:rPr>
          <w:b/>
          <w:color w:val="000000"/>
        </w:rPr>
        <w:t>репарат</w:t>
      </w:r>
      <w:r w:rsidR="00663B49">
        <w:rPr>
          <w:b/>
          <w:color w:val="000000"/>
        </w:rPr>
        <w:t>а</w:t>
      </w:r>
      <w:r w:rsidR="00663B49" w:rsidRPr="00663B49">
        <w:rPr>
          <w:b/>
          <w:color w:val="000000"/>
        </w:rPr>
        <w:t xml:space="preserve"> гумусовый на основе </w:t>
      </w:r>
      <w:proofErr w:type="spellStart"/>
      <w:r w:rsidR="00663B49" w:rsidRPr="00663B49">
        <w:rPr>
          <w:b/>
          <w:color w:val="000000"/>
        </w:rPr>
        <w:t>торва</w:t>
      </w:r>
      <w:proofErr w:type="spellEnd"/>
      <w:r w:rsidR="007B46E8">
        <w:t xml:space="preserve"> </w:t>
      </w:r>
      <w:r w:rsidR="00BD1939">
        <w:rPr>
          <w:b/>
        </w:rPr>
        <w:t xml:space="preserve"> - </w:t>
      </w:r>
      <w:r w:rsidR="00663B49">
        <w:rPr>
          <w:b/>
        </w:rPr>
        <w:t>40 000 000</w:t>
      </w:r>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663B49">
        <w:rPr>
          <w:bCs/>
        </w:rPr>
        <w:t>товара</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391362" w:rsidRPr="008C1F8F" w:rsidRDefault="00BD1939" w:rsidP="00391362">
      <w:pPr>
        <w:jc w:val="both"/>
        <w:rPr>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391362">
        <w:rPr>
          <w:sz w:val="22"/>
          <w:szCs w:val="22"/>
          <w:lang w:val="kk-KZ"/>
        </w:rPr>
        <w:t xml:space="preserve"> </w:t>
      </w:r>
      <w:r w:rsidR="00391362" w:rsidRPr="008C1F8F">
        <w:rPr>
          <w:sz w:val="22"/>
          <w:szCs w:val="22"/>
        </w:rPr>
        <w:t xml:space="preserve">БИН: </w:t>
      </w:r>
      <w:r w:rsidR="00391362" w:rsidRPr="008C1F8F">
        <w:rPr>
          <w:sz w:val="22"/>
          <w:szCs w:val="22"/>
          <w:lang w:val="kk-KZ"/>
        </w:rPr>
        <w:t>151241018126</w:t>
      </w:r>
    </w:p>
    <w:p w:rsidR="00391362" w:rsidRPr="008C1F8F" w:rsidRDefault="00391362" w:rsidP="00391362">
      <w:pPr>
        <w:jc w:val="both"/>
        <w:rPr>
          <w:lang w:val="kk-KZ"/>
        </w:rPr>
      </w:pPr>
      <w:r w:rsidRPr="008C1F8F">
        <w:rPr>
          <w:sz w:val="22"/>
          <w:szCs w:val="22"/>
        </w:rPr>
        <w:t xml:space="preserve">ИИК: </w:t>
      </w:r>
      <w:r w:rsidRPr="008C1F8F">
        <w:rPr>
          <w:sz w:val="22"/>
          <w:szCs w:val="22"/>
          <w:lang w:val="en-US"/>
        </w:rPr>
        <w:t>KZ</w:t>
      </w:r>
      <w:r w:rsidRPr="008C1F8F">
        <w:rPr>
          <w:sz w:val="22"/>
          <w:szCs w:val="22"/>
          <w:lang w:val="kk-KZ"/>
        </w:rPr>
        <w:t xml:space="preserve">586010291000251967, </w:t>
      </w:r>
      <w:r w:rsidRPr="008C1F8F">
        <w:rPr>
          <w:sz w:val="22"/>
          <w:szCs w:val="22"/>
        </w:rPr>
        <w:t xml:space="preserve">БИК: </w:t>
      </w:r>
      <w:r w:rsidRPr="008C1F8F">
        <w:rPr>
          <w:sz w:val="22"/>
          <w:szCs w:val="22"/>
          <w:lang w:val="en-US"/>
        </w:rPr>
        <w:t>HSBKKZKX</w:t>
      </w:r>
      <w:r w:rsidRPr="008C1F8F">
        <w:rPr>
          <w:sz w:val="22"/>
          <w:szCs w:val="22"/>
        </w:rPr>
        <w:t>, АО «Народный банк Казахстана»</w:t>
      </w:r>
    </w:p>
    <w:p w:rsidR="00BD1939" w:rsidRPr="006140DD" w:rsidRDefault="00BD1939" w:rsidP="006140DD">
      <w:pPr>
        <w:rPr>
          <w:sz w:val="22"/>
          <w:szCs w:val="22"/>
          <w:lang w:val="kk-KZ"/>
        </w:rPr>
      </w:pPr>
      <w:r w:rsidRPr="007B46E8">
        <w:rPr>
          <w:rFonts w:eastAsia="Calibri"/>
        </w:rPr>
        <w:t>получа</w:t>
      </w:r>
      <w:r w:rsidR="006140DD">
        <w:rPr>
          <w:rFonts w:eastAsia="Calibri"/>
        </w:rPr>
        <w:t>тель платежа</w:t>
      </w:r>
      <w:r w:rsidRPr="007B46E8">
        <w:rPr>
          <w:rFonts w:eastAsia="Calibri"/>
        </w:rPr>
        <w:t xml:space="preserve"> </w:t>
      </w:r>
      <w:r w:rsidR="00391362">
        <w:rPr>
          <w:rFonts w:eastAsia="Calibri"/>
        </w:rPr>
        <w:t xml:space="preserve">филиал «Степное-РУ» </w:t>
      </w:r>
      <w:r w:rsidRPr="007B46E8">
        <w:rPr>
          <w:rFonts w:eastAsia="Calibri"/>
        </w:rPr>
        <w:t>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lastRenderedPageBreak/>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A00442">
        <w:rPr>
          <w:rFonts w:eastAsia="Calibri"/>
        </w:rPr>
        <w:t>К</w:t>
      </w:r>
      <w:proofErr w:type="gramEnd"/>
      <w:r w:rsidR="00A00442">
        <w:rPr>
          <w:rFonts w:eastAsia="Calibri"/>
        </w:rPr>
        <w:t>ыземшек</w:t>
      </w:r>
      <w:proofErr w:type="spellEnd"/>
      <w:r w:rsidR="00BD1939" w:rsidRPr="00B95DA6">
        <w:rPr>
          <w:rFonts w:eastAsia="Calibri"/>
        </w:rPr>
        <w:t>,</w:t>
      </w:r>
      <w:r w:rsidR="00A00442">
        <w:rPr>
          <w:rFonts w:eastAsia="Calibri"/>
        </w:rPr>
        <w:t xml:space="preserve"> 1</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C92578" w:rsidP="00C92578">
      <w:pPr>
        <w:tabs>
          <w:tab w:val="left" w:pos="567"/>
        </w:tabs>
        <w:ind w:firstLine="567"/>
        <w:jc w:val="both"/>
        <w:rPr>
          <w:b/>
          <w:bCs/>
          <w:iCs/>
        </w:rPr>
      </w:pPr>
      <w:r>
        <w:rPr>
          <w:b/>
          <w:bCs/>
          <w:iCs/>
        </w:rPr>
        <w:t xml:space="preserve"> </w:t>
      </w:r>
      <w:r w:rsidR="00916573"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bookmarkStart w:id="0" w:name="_GoBack"/>
      <w:bookmarkEnd w:id="0"/>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10"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1"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proofErr w:type="spellStart"/>
        <w:r w:rsidR="00A56092" w:rsidRPr="0049223E">
          <w:rPr>
            <w:rStyle w:val="a7"/>
            <w:bCs/>
            <w:lang w:val="en-US"/>
          </w:rPr>
          <w:t>kz</w:t>
        </w:r>
        <w:proofErr w:type="spellEnd"/>
      </w:hyperlink>
      <w:r w:rsidR="00A56092">
        <w:rPr>
          <w:rStyle w:val="a7"/>
          <w:bCs/>
        </w:rPr>
        <w:t xml:space="preserve"> </w:t>
      </w:r>
      <w:r w:rsidRPr="00DF1425">
        <w:rPr>
          <w:bCs/>
        </w:rPr>
        <w:t xml:space="preserve"> </w:t>
      </w:r>
      <w:r w:rsidR="00A56092">
        <w:rPr>
          <w:bCs/>
        </w:rPr>
        <w:t>1</w:t>
      </w:r>
      <w:r w:rsidR="00A00442">
        <w:rPr>
          <w:bCs/>
        </w:rPr>
        <w:t>9</w:t>
      </w:r>
      <w:r w:rsidR="00A56092">
        <w:rPr>
          <w:bCs/>
        </w:rPr>
        <w:t xml:space="preserve"> янва</w:t>
      </w:r>
      <w:r w:rsidR="00780F09">
        <w:rPr>
          <w:bCs/>
        </w:rPr>
        <w:t>ря</w:t>
      </w:r>
      <w:r w:rsidR="00A56092">
        <w:rPr>
          <w:bCs/>
        </w:rPr>
        <w:t xml:space="preserve">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сточник (веб-сайт) государственного органа, выдавшего лицензию, использующего электронную систему лицензирования</w:t>
      </w:r>
      <w:r w:rsidRPr="001D495A">
        <w:t xml:space="preserve"> </w:t>
      </w:r>
      <w:r>
        <w:t xml:space="preserve">на выполняемые субподрядчиком работы (оказываемые соисполнителями </w:t>
      </w:r>
      <w:r>
        <w:lastRenderedPageBreak/>
        <w:t>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2"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lastRenderedPageBreak/>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lastRenderedPageBreak/>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w:t>
      </w:r>
      <w:r w:rsidRPr="001D495A">
        <w:rPr>
          <w:bCs/>
        </w:rPr>
        <w:lastRenderedPageBreak/>
        <w:t>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lastRenderedPageBreak/>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 xml:space="preserve">уклонения победителя и потенциального поставщика, занявшего второе место, от </w:t>
      </w:r>
      <w:r w:rsidRPr="001D495A">
        <w:rPr>
          <w:rFonts w:ascii="Times New Roman" w:hAnsi="Times New Roman" w:cs="Times New Roman"/>
        </w:rPr>
        <w:lastRenderedPageBreak/>
        <w:t>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lastRenderedPageBreak/>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w:t>
      </w:r>
      <w:r w:rsidRPr="001D495A">
        <w:rPr>
          <w:rFonts w:ascii="Times New Roman" w:hAnsi="Times New Roman" w:cs="Times New Roman"/>
        </w:rPr>
        <w:lastRenderedPageBreak/>
        <w:t>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w:t>
      </w:r>
      <w:r w:rsidRPr="005715EE">
        <w:rPr>
          <w:rFonts w:ascii="Times New Roman" w:hAnsi="Times New Roman" w:cs="Times New Roman"/>
          <w:b w:val="0"/>
        </w:rPr>
        <w:lastRenderedPageBreak/>
        <w:t>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w:t>
      </w:r>
      <w:r w:rsidRPr="001D495A">
        <w:rPr>
          <w:color w:val="000000"/>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w:t>
      </w:r>
      <w:r w:rsidRPr="001D495A">
        <w:lastRenderedPageBreak/>
        <w:t xml:space="preserve">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w:t>
      </w:r>
      <w:r w:rsidRPr="00792449">
        <w:rPr>
          <w:rFonts w:ascii="Times New Roman" w:hAnsi="Times New Roman" w:cs="Times New Roman"/>
        </w:rPr>
        <w:lastRenderedPageBreak/>
        <w:t xml:space="preserve">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lastRenderedPageBreak/>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3"/>
          <w:footerReference w:type="even" r:id="rId14"/>
          <w:headerReference w:type="first" r:id="rId15"/>
          <w:footerReference w:type="first" r:id="rId16"/>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B0" w:rsidRDefault="005268B0" w:rsidP="006462BD">
      <w:r>
        <w:separator/>
      </w:r>
    </w:p>
  </w:endnote>
  <w:endnote w:type="continuationSeparator" w:id="0">
    <w:p w:rsidR="005268B0" w:rsidRDefault="005268B0"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B0" w:rsidRDefault="005268B0" w:rsidP="006462BD">
      <w:r>
        <w:separator/>
      </w:r>
    </w:p>
  </w:footnote>
  <w:footnote w:type="continuationSeparator" w:id="0">
    <w:p w:rsidR="005268B0" w:rsidRDefault="005268B0"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52076"/>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21FF1"/>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1362"/>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268B0"/>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3B49"/>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00442"/>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92578"/>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24C"/>
    <w:rsid w:val="00E30C50"/>
    <w:rsid w:val="00E3449D"/>
    <w:rsid w:val="00E34C53"/>
    <w:rsid w:val="00E41B69"/>
    <w:rsid w:val="00E42B35"/>
    <w:rsid w:val="00E57E97"/>
    <w:rsid w:val="00E665F9"/>
    <w:rsid w:val="00E762CA"/>
    <w:rsid w:val="00E85797"/>
    <w:rsid w:val="00E8651E"/>
    <w:rsid w:val="00E92779"/>
    <w:rsid w:val="00E929D2"/>
    <w:rsid w:val="00EB37CF"/>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18840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uran.kazatomprom.k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azatomprom.kz" TargetMode="External"/><Relationship Id="rId4" Type="http://schemas.microsoft.com/office/2007/relationships/stylesWithEffects" Target="stylesWithEffects.xml"/><Relationship Id="rId9" Type="http://schemas.openxmlformats.org/officeDocument/2006/relationships/hyperlink" Target="mailto:NAldasugirov@sauran.kazatomprom.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F743A-190D-428C-B237-17EAFEDD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9371</Words>
  <Characters>53420</Characters>
  <Application>Microsoft Office Word</Application>
  <DocSecurity>4</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62666</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2</cp:revision>
  <cp:lastPrinted>2016-12-07T07:33:00Z</cp:lastPrinted>
  <dcterms:created xsi:type="dcterms:W3CDTF">2017-01-30T06:10:00Z</dcterms:created>
  <dcterms:modified xsi:type="dcterms:W3CDTF">2017-01-30T06:10:00Z</dcterms:modified>
</cp:coreProperties>
</file>