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2F238A" w:rsidP="003940EB">
      <w:pPr>
        <w:jc w:val="both"/>
        <w:rPr>
          <w:b/>
        </w:rPr>
      </w:pPr>
      <w:r w:rsidRPr="002F238A">
        <w:rPr>
          <w:b/>
          <w:color w:val="000000"/>
        </w:rPr>
        <w:t>Работы по капитал</w:t>
      </w:r>
      <w:r>
        <w:rPr>
          <w:b/>
          <w:color w:val="000000"/>
        </w:rPr>
        <w:t>ьному ремонту электродвигателей</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w:t>
      </w:r>
      <w:proofErr w:type="gramStart"/>
      <w:r w:rsidRPr="001D495A">
        <w:t>к-</w:t>
      </w:r>
      <w:proofErr w:type="gramEnd"/>
      <w:r w:rsidRPr="001D495A">
        <w:t>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Самрук-Қазына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5A0F0B" w:rsidRDefault="001A54D6" w:rsidP="00105CAB">
      <w:pPr>
        <w:ind w:right="-4" w:firstLine="709"/>
        <w:jc w:val="both"/>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2F238A" w:rsidRPr="002F238A">
        <w:rPr>
          <w:b/>
          <w:color w:val="000000"/>
        </w:rPr>
        <w:t>Работы по капитал</w:t>
      </w:r>
      <w:r w:rsidR="002F238A">
        <w:rPr>
          <w:b/>
          <w:color w:val="000000"/>
        </w:rPr>
        <w:t>ьному ремонту электродвигателей</w:t>
      </w:r>
      <w:r w:rsidR="005A0F0B">
        <w:t>:</w:t>
      </w:r>
    </w:p>
    <w:p w:rsidR="001A54D6" w:rsidRDefault="005A0F0B" w:rsidP="00105CAB">
      <w:pPr>
        <w:ind w:right="-4" w:firstLine="709"/>
        <w:jc w:val="both"/>
        <w:rPr>
          <w:b/>
          <w:bCs/>
        </w:rPr>
      </w:pPr>
      <w:r w:rsidRPr="00BA13F4">
        <w:rPr>
          <w:b/>
        </w:rPr>
        <w:t>Лот №1.</w:t>
      </w:r>
      <w:r w:rsidR="00BA13F4" w:rsidRPr="00BA13F4">
        <w:rPr>
          <w:b/>
        </w:rPr>
        <w:t xml:space="preserve"> Работы по</w:t>
      </w:r>
      <w:r w:rsidRPr="00BA13F4">
        <w:rPr>
          <w:b/>
        </w:rPr>
        <w:t xml:space="preserve"> </w:t>
      </w:r>
      <w:r w:rsidR="00BA13F4" w:rsidRPr="00BA13F4">
        <w:rPr>
          <w:b/>
          <w:bCs/>
        </w:rPr>
        <w:t>капитальному</w:t>
      </w:r>
      <w:r w:rsidR="00BA13F4" w:rsidRPr="00BA13F4">
        <w:rPr>
          <w:b/>
          <w:bCs/>
        </w:rPr>
        <w:t xml:space="preserve"> ремонт</w:t>
      </w:r>
      <w:r w:rsidR="00BA13F4" w:rsidRPr="00BA13F4">
        <w:rPr>
          <w:b/>
          <w:bCs/>
        </w:rPr>
        <w:t>у</w:t>
      </w:r>
      <w:r w:rsidR="00BA13F4" w:rsidRPr="00BA13F4">
        <w:rPr>
          <w:b/>
          <w:bCs/>
        </w:rPr>
        <w:t xml:space="preserve"> асинхронных электродвигателей</w:t>
      </w:r>
      <w:proofErr w:type="gramStart"/>
      <w:r w:rsidR="00BA13F4" w:rsidRPr="00BA13F4">
        <w:rPr>
          <w:b/>
          <w:bCs/>
        </w:rPr>
        <w:t xml:space="preserve"> Д</w:t>
      </w:r>
      <w:proofErr w:type="gramEnd"/>
      <w:r w:rsidR="00BA13F4" w:rsidRPr="00BA13F4">
        <w:rPr>
          <w:b/>
          <w:bCs/>
        </w:rPr>
        <w:t>о 1  квт 1500 об/мин</w:t>
      </w:r>
      <w:r w:rsidRPr="00BA13F4">
        <w:rPr>
          <w:b/>
        </w:rPr>
        <w:t xml:space="preserve"> </w:t>
      </w:r>
      <w:r w:rsidR="00BA13F4">
        <w:rPr>
          <w:b/>
        </w:rPr>
        <w:t xml:space="preserve">- </w:t>
      </w:r>
      <w:r w:rsidR="00BD1939" w:rsidRPr="00BA13F4">
        <w:rPr>
          <w:b/>
        </w:rPr>
        <w:t xml:space="preserve"> </w:t>
      </w:r>
      <w:r w:rsidR="00BA13F4" w:rsidRPr="00BA13F4">
        <w:rPr>
          <w:b/>
        </w:rPr>
        <w:t>535</w:t>
      </w:r>
      <w:r w:rsidR="00BA13F4" w:rsidRPr="00BA13F4">
        <w:rPr>
          <w:b/>
        </w:rPr>
        <w:t> </w:t>
      </w:r>
      <w:r w:rsidR="00BA13F4" w:rsidRPr="00BA13F4">
        <w:rPr>
          <w:b/>
        </w:rPr>
        <w:t>714</w:t>
      </w:r>
      <w:r w:rsidR="00BA13F4">
        <w:t xml:space="preserve"> </w:t>
      </w:r>
      <w:r w:rsidR="00BD1939">
        <w:rPr>
          <w:b/>
          <w:bCs/>
        </w:rPr>
        <w:t>тенге, без учета НДС.</w:t>
      </w:r>
    </w:p>
    <w:p w:rsidR="00BA13F4" w:rsidRDefault="00BA13F4" w:rsidP="00BA13F4">
      <w:pPr>
        <w:ind w:right="-4" w:firstLine="709"/>
        <w:jc w:val="both"/>
        <w:rPr>
          <w:b/>
          <w:bCs/>
        </w:rPr>
      </w:pPr>
      <w:r>
        <w:rPr>
          <w:b/>
          <w:bCs/>
        </w:rPr>
        <w:t xml:space="preserve">Лот №2.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1,5 квт 1400 об/мин</w:t>
      </w:r>
      <w:r>
        <w:rPr>
          <w:b/>
          <w:bCs/>
        </w:rPr>
        <w:t xml:space="preserve"> – </w:t>
      </w:r>
      <w:r>
        <w:rPr>
          <w:b/>
        </w:rPr>
        <w:t xml:space="preserve">446 428 </w:t>
      </w:r>
      <w:r>
        <w:t xml:space="preserve"> </w:t>
      </w:r>
      <w:r>
        <w:rPr>
          <w:b/>
          <w:bCs/>
        </w:rPr>
        <w:t>тенге, без учета НДС.</w:t>
      </w:r>
    </w:p>
    <w:p w:rsidR="00BA13F4" w:rsidRDefault="00BA13F4" w:rsidP="00BA13F4">
      <w:pPr>
        <w:ind w:right="-4" w:firstLine="709"/>
        <w:jc w:val="both"/>
        <w:rPr>
          <w:b/>
          <w:bCs/>
        </w:rPr>
      </w:pPr>
      <w:r>
        <w:rPr>
          <w:b/>
          <w:bCs/>
        </w:rPr>
        <w:t xml:space="preserve">Лот №3.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1,5 квт 2800 об/мин</w:t>
      </w:r>
      <w:r>
        <w:rPr>
          <w:b/>
          <w:bCs/>
        </w:rPr>
        <w:t xml:space="preserve"> </w:t>
      </w:r>
      <w:r>
        <w:rPr>
          <w:b/>
          <w:bCs/>
        </w:rPr>
        <w:t xml:space="preserve">– </w:t>
      </w:r>
      <w:r>
        <w:rPr>
          <w:b/>
        </w:rPr>
        <w:t xml:space="preserve">446 428 </w:t>
      </w:r>
      <w:r>
        <w:t xml:space="preserve"> </w:t>
      </w:r>
      <w:r>
        <w:rPr>
          <w:b/>
          <w:bCs/>
        </w:rPr>
        <w:t>тенге, без учета НДС.</w:t>
      </w:r>
    </w:p>
    <w:p w:rsidR="00BA13F4" w:rsidRDefault="00BA13F4" w:rsidP="00BA13F4">
      <w:pPr>
        <w:ind w:right="-4" w:firstLine="709"/>
        <w:jc w:val="both"/>
        <w:rPr>
          <w:b/>
          <w:bCs/>
        </w:rPr>
      </w:pPr>
      <w:r>
        <w:rPr>
          <w:b/>
          <w:bCs/>
        </w:rPr>
        <w:t xml:space="preserve">Лот №4.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2,2 квт 940 об/мин</w:t>
      </w:r>
      <w:r>
        <w:rPr>
          <w:b/>
          <w:bCs/>
        </w:rPr>
        <w:t xml:space="preserve"> </w:t>
      </w:r>
      <w:r>
        <w:rPr>
          <w:b/>
        </w:rPr>
        <w:t xml:space="preserve">- </w:t>
      </w:r>
      <w:r w:rsidRPr="00BA13F4">
        <w:rPr>
          <w:b/>
        </w:rPr>
        <w:t xml:space="preserve"> 535 714</w:t>
      </w:r>
      <w:r>
        <w:t xml:space="preserve"> </w:t>
      </w:r>
      <w:r>
        <w:rPr>
          <w:b/>
          <w:bCs/>
        </w:rPr>
        <w:t>тенге, без учета НДС.</w:t>
      </w:r>
    </w:p>
    <w:p w:rsidR="00BA13F4" w:rsidRDefault="00BA13F4" w:rsidP="00BA13F4">
      <w:pPr>
        <w:ind w:right="-4" w:firstLine="709"/>
        <w:jc w:val="both"/>
        <w:rPr>
          <w:b/>
          <w:bCs/>
        </w:rPr>
      </w:pPr>
      <w:r>
        <w:rPr>
          <w:b/>
          <w:bCs/>
        </w:rPr>
        <w:t xml:space="preserve">Лот №5.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5,5 квт 1000 об/мин</w:t>
      </w:r>
      <w:r>
        <w:rPr>
          <w:b/>
          <w:bCs/>
        </w:rPr>
        <w:t xml:space="preserve"> – </w:t>
      </w:r>
      <w:r w:rsidRPr="00BA13F4">
        <w:rPr>
          <w:b/>
        </w:rPr>
        <w:t>1</w:t>
      </w:r>
      <w:r>
        <w:rPr>
          <w:b/>
        </w:rPr>
        <w:t> </w:t>
      </w:r>
      <w:r w:rsidRPr="00BA13F4">
        <w:rPr>
          <w:b/>
        </w:rPr>
        <w:t>071</w:t>
      </w:r>
      <w:r>
        <w:rPr>
          <w:b/>
        </w:rPr>
        <w:t xml:space="preserve"> </w:t>
      </w:r>
      <w:r w:rsidRPr="00BA13F4">
        <w:rPr>
          <w:b/>
        </w:rPr>
        <w:t>428</w:t>
      </w:r>
      <w:r>
        <w:t xml:space="preserve"> </w:t>
      </w:r>
      <w:r>
        <w:rPr>
          <w:b/>
          <w:bCs/>
        </w:rPr>
        <w:t>тенге, без учета НДС.</w:t>
      </w:r>
    </w:p>
    <w:p w:rsidR="00BA13F4" w:rsidRDefault="00BA13F4" w:rsidP="00BA13F4">
      <w:pPr>
        <w:ind w:right="-4" w:firstLine="709"/>
        <w:jc w:val="both"/>
        <w:rPr>
          <w:b/>
          <w:bCs/>
        </w:rPr>
      </w:pPr>
      <w:r>
        <w:rPr>
          <w:b/>
          <w:bCs/>
        </w:rPr>
        <w:t xml:space="preserve">Лот №6.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7,5 квт 1500 об/мин</w:t>
      </w:r>
      <w:r>
        <w:rPr>
          <w:b/>
          <w:bCs/>
        </w:rPr>
        <w:t xml:space="preserve"> – </w:t>
      </w:r>
      <w:r w:rsidRPr="00BA13F4">
        <w:rPr>
          <w:b/>
        </w:rPr>
        <w:t>1</w:t>
      </w:r>
      <w:r>
        <w:rPr>
          <w:b/>
        </w:rPr>
        <w:t> </w:t>
      </w:r>
      <w:r w:rsidRPr="00BA13F4">
        <w:rPr>
          <w:b/>
        </w:rPr>
        <w:t>517</w:t>
      </w:r>
      <w:r>
        <w:rPr>
          <w:b/>
        </w:rPr>
        <w:t> </w:t>
      </w:r>
      <w:r w:rsidRPr="00BA13F4">
        <w:rPr>
          <w:b/>
        </w:rPr>
        <w:t>857</w:t>
      </w:r>
      <w:r>
        <w:rPr>
          <w:b/>
        </w:rPr>
        <w:t xml:space="preserve"> </w:t>
      </w:r>
      <w:r>
        <w:rPr>
          <w:b/>
          <w:bCs/>
        </w:rPr>
        <w:t>тенге, без учета НДС.</w:t>
      </w:r>
    </w:p>
    <w:p w:rsidR="00BA13F4" w:rsidRDefault="00BA13F4" w:rsidP="00BA13F4">
      <w:pPr>
        <w:ind w:right="-4" w:firstLine="709"/>
        <w:jc w:val="both"/>
        <w:rPr>
          <w:b/>
          <w:bCs/>
        </w:rPr>
      </w:pPr>
      <w:r>
        <w:rPr>
          <w:b/>
          <w:bCs/>
        </w:rPr>
        <w:t xml:space="preserve">Лот №7.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15 квт 1500 об/мин</w:t>
      </w:r>
      <w:r>
        <w:rPr>
          <w:b/>
          <w:bCs/>
        </w:rPr>
        <w:t xml:space="preserve"> </w:t>
      </w:r>
      <w:r w:rsidRPr="00BA13F4">
        <w:rPr>
          <w:b/>
          <w:bCs/>
        </w:rPr>
        <w:t xml:space="preserve">– </w:t>
      </w:r>
      <w:r w:rsidRPr="00BA13F4">
        <w:rPr>
          <w:b/>
        </w:rPr>
        <w:t>2</w:t>
      </w:r>
      <w:r w:rsidRPr="00BA13F4">
        <w:rPr>
          <w:b/>
        </w:rPr>
        <w:t> </w:t>
      </w:r>
      <w:r w:rsidRPr="00BA13F4">
        <w:rPr>
          <w:b/>
        </w:rPr>
        <w:t>232</w:t>
      </w:r>
      <w:r w:rsidRPr="00BA13F4">
        <w:rPr>
          <w:b/>
        </w:rPr>
        <w:t> </w:t>
      </w:r>
      <w:r w:rsidRPr="00BA13F4">
        <w:rPr>
          <w:b/>
        </w:rPr>
        <w:t>142</w:t>
      </w:r>
      <w:r>
        <w:t xml:space="preserve"> </w:t>
      </w:r>
      <w:r>
        <w:rPr>
          <w:b/>
          <w:bCs/>
        </w:rPr>
        <w:t>тенге, без учета НДС.</w:t>
      </w:r>
    </w:p>
    <w:p w:rsidR="00BA13F4" w:rsidRDefault="00BA13F4" w:rsidP="00BA13F4">
      <w:pPr>
        <w:ind w:right="-4" w:firstLine="709"/>
        <w:jc w:val="both"/>
        <w:rPr>
          <w:b/>
          <w:bCs/>
        </w:rPr>
      </w:pPr>
      <w:r>
        <w:rPr>
          <w:b/>
          <w:bCs/>
        </w:rPr>
        <w:t xml:space="preserve">Лот №8.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11 квт 1500 об/мин</w:t>
      </w:r>
      <w:r>
        <w:rPr>
          <w:b/>
        </w:rPr>
        <w:t xml:space="preserve"> - </w:t>
      </w:r>
      <w:r w:rsidRPr="00BA13F4">
        <w:rPr>
          <w:b/>
        </w:rPr>
        <w:t xml:space="preserve"> </w:t>
      </w:r>
      <w:r w:rsidRPr="00BA13F4">
        <w:rPr>
          <w:b/>
        </w:rPr>
        <w:t>1</w:t>
      </w:r>
      <w:r w:rsidRPr="00BA13F4">
        <w:rPr>
          <w:b/>
        </w:rPr>
        <w:t> </w:t>
      </w:r>
      <w:r w:rsidRPr="00BA13F4">
        <w:rPr>
          <w:b/>
        </w:rPr>
        <w:t>339</w:t>
      </w:r>
      <w:r>
        <w:rPr>
          <w:b/>
        </w:rPr>
        <w:t> </w:t>
      </w:r>
      <w:r w:rsidRPr="00BA13F4">
        <w:rPr>
          <w:b/>
        </w:rPr>
        <w:t>285</w:t>
      </w:r>
      <w:r>
        <w:rPr>
          <w:b/>
        </w:rPr>
        <w:t xml:space="preserve"> </w:t>
      </w:r>
      <w:r>
        <w:rPr>
          <w:b/>
          <w:bCs/>
        </w:rPr>
        <w:t>тенге, без учета НДС.</w:t>
      </w:r>
    </w:p>
    <w:p w:rsidR="00BA13F4" w:rsidRDefault="00BA13F4" w:rsidP="00BA13F4">
      <w:pPr>
        <w:ind w:right="-4" w:firstLine="709"/>
        <w:jc w:val="both"/>
        <w:rPr>
          <w:b/>
          <w:bCs/>
        </w:rPr>
      </w:pPr>
      <w:r>
        <w:rPr>
          <w:b/>
          <w:bCs/>
        </w:rPr>
        <w:t xml:space="preserve">Лот №9.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о 22 кВт 1500 об/мин</w:t>
      </w:r>
      <w:r>
        <w:rPr>
          <w:b/>
          <w:bCs/>
        </w:rPr>
        <w:t xml:space="preserve"> – </w:t>
      </w:r>
      <w:r w:rsidRPr="00BA13F4">
        <w:rPr>
          <w:b/>
        </w:rPr>
        <w:t>1</w:t>
      </w:r>
      <w:r w:rsidRPr="00BA13F4">
        <w:rPr>
          <w:b/>
        </w:rPr>
        <w:t> </w:t>
      </w:r>
      <w:r w:rsidRPr="00BA13F4">
        <w:rPr>
          <w:b/>
        </w:rPr>
        <w:t>339</w:t>
      </w:r>
      <w:r>
        <w:rPr>
          <w:b/>
        </w:rPr>
        <w:t> </w:t>
      </w:r>
      <w:r w:rsidRPr="00BA13F4">
        <w:rPr>
          <w:b/>
        </w:rPr>
        <w:t>285</w:t>
      </w:r>
      <w:r>
        <w:rPr>
          <w:b/>
        </w:rPr>
        <w:t xml:space="preserve"> </w:t>
      </w:r>
      <w:r>
        <w:rPr>
          <w:b/>
          <w:bCs/>
        </w:rPr>
        <w:t>тенге, без учета НДС.</w:t>
      </w:r>
    </w:p>
    <w:p w:rsidR="00BA13F4" w:rsidRDefault="00BA13F4" w:rsidP="00BA13F4">
      <w:pPr>
        <w:ind w:right="-4" w:firstLine="709"/>
        <w:jc w:val="both"/>
        <w:rPr>
          <w:b/>
          <w:bCs/>
        </w:rPr>
      </w:pPr>
      <w:r>
        <w:rPr>
          <w:b/>
          <w:bCs/>
        </w:rPr>
        <w:t xml:space="preserve">Лот №10. </w:t>
      </w:r>
      <w:r w:rsidRPr="00BA13F4">
        <w:rPr>
          <w:b/>
        </w:rPr>
        <w:t xml:space="preserve">Работы по </w:t>
      </w:r>
      <w:r w:rsidRPr="00BA13F4">
        <w:rPr>
          <w:b/>
          <w:bCs/>
        </w:rPr>
        <w:t>капитальному ремонту асинхронных электродвигателей</w:t>
      </w:r>
      <w:proofErr w:type="gramStart"/>
      <w:r w:rsidRPr="00BA13F4">
        <w:rPr>
          <w:b/>
          <w:bCs/>
        </w:rPr>
        <w:t xml:space="preserve"> Д</w:t>
      </w:r>
      <w:proofErr w:type="gramEnd"/>
      <w:r w:rsidRPr="00BA13F4">
        <w:rPr>
          <w:b/>
          <w:bCs/>
        </w:rPr>
        <w:t xml:space="preserve">о 500 кВт 6 </w:t>
      </w:r>
      <w:proofErr w:type="spellStart"/>
      <w:r w:rsidRPr="00BA13F4">
        <w:rPr>
          <w:b/>
          <w:bCs/>
        </w:rPr>
        <w:t>кВ</w:t>
      </w:r>
      <w:proofErr w:type="spellEnd"/>
      <w:r w:rsidRPr="00BA13F4">
        <w:rPr>
          <w:b/>
          <w:bCs/>
        </w:rPr>
        <w:t xml:space="preserve"> 1500 об/мин</w:t>
      </w:r>
      <w:r>
        <w:rPr>
          <w:b/>
          <w:bCs/>
        </w:rPr>
        <w:t xml:space="preserve"> </w:t>
      </w:r>
      <w:r w:rsidRPr="00BA13F4">
        <w:rPr>
          <w:b/>
          <w:bCs/>
        </w:rPr>
        <w:t xml:space="preserve">– </w:t>
      </w:r>
      <w:r w:rsidRPr="00BA13F4">
        <w:rPr>
          <w:b/>
        </w:rPr>
        <w:t>1</w:t>
      </w:r>
      <w:r w:rsidRPr="00BA13F4">
        <w:rPr>
          <w:b/>
        </w:rPr>
        <w:t> </w:t>
      </w:r>
      <w:r w:rsidRPr="00BA13F4">
        <w:rPr>
          <w:b/>
        </w:rPr>
        <w:t>250</w:t>
      </w:r>
      <w:r>
        <w:rPr>
          <w:b/>
        </w:rPr>
        <w:t> </w:t>
      </w:r>
      <w:r w:rsidRPr="00BA13F4">
        <w:rPr>
          <w:b/>
        </w:rPr>
        <w:t>000</w:t>
      </w:r>
      <w:r>
        <w:rPr>
          <w:b/>
        </w:rPr>
        <w:t xml:space="preserve"> </w:t>
      </w:r>
      <w:r>
        <w:rPr>
          <w:b/>
          <w:bCs/>
        </w:rPr>
        <w:t>тенге, без учета НДС.</w:t>
      </w:r>
    </w:p>
    <w:p w:rsidR="00BA13F4" w:rsidRDefault="00BA13F4" w:rsidP="00BA13F4">
      <w:pPr>
        <w:ind w:right="-4" w:firstLine="709"/>
        <w:jc w:val="both"/>
        <w:rPr>
          <w:b/>
          <w:bCs/>
        </w:rPr>
      </w:pPr>
    </w:p>
    <w:p w:rsidR="00BA13F4" w:rsidRDefault="00BA13F4" w:rsidP="00105CAB">
      <w:pPr>
        <w:ind w:right="-4" w:firstLine="709"/>
        <w:jc w:val="both"/>
        <w:rPr>
          <w:b/>
          <w:bCs/>
        </w:rPr>
      </w:pP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B02CD5">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002F238A">
        <w:rPr>
          <w:bCs/>
        </w:rPr>
        <w:t>7</w:t>
      </w:r>
      <w:r w:rsidRPr="001D495A">
        <w:rPr>
          <w:bCs/>
        </w:rPr>
        <w:t xml:space="preserve">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3D601E">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6F704C">
        <w:rPr>
          <w:b/>
          <w:bCs/>
          <w:iCs/>
        </w:rPr>
        <w:t>0</w:t>
      </w:r>
      <w:bookmarkStart w:id="0" w:name="_GoBack"/>
      <w:bookmarkEnd w:id="0"/>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2F238A">
        <w:rPr>
          <w:bCs/>
        </w:rPr>
        <w:t xml:space="preserve">, </w:t>
      </w:r>
      <w:hyperlink r:id="rId10" w:history="1">
        <w:r w:rsidR="002F238A" w:rsidRPr="0049223E">
          <w:rPr>
            <w:rStyle w:val="a7"/>
            <w:lang w:val="en-US"/>
          </w:rPr>
          <w:t>www</w:t>
        </w:r>
        <w:r w:rsidR="002F238A" w:rsidRPr="0049223E">
          <w:rPr>
            <w:rStyle w:val="a7"/>
          </w:rPr>
          <w:t>.</w:t>
        </w:r>
        <w:r w:rsidR="002F238A" w:rsidRPr="0049223E">
          <w:rPr>
            <w:rStyle w:val="a7"/>
            <w:lang w:val="en-US"/>
          </w:rPr>
          <w:t>sauran</w:t>
        </w:r>
        <w:r w:rsidR="002F238A" w:rsidRPr="00A56092">
          <w:rPr>
            <w:rStyle w:val="a7"/>
          </w:rPr>
          <w:t>.</w:t>
        </w:r>
        <w:r w:rsidR="002F238A" w:rsidRPr="0049223E">
          <w:rPr>
            <w:rStyle w:val="a7"/>
            <w:bCs/>
            <w:lang w:val="en-US"/>
          </w:rPr>
          <w:t>kazatomprom</w:t>
        </w:r>
        <w:r w:rsidR="002F238A" w:rsidRPr="0049223E">
          <w:rPr>
            <w:rStyle w:val="a7"/>
            <w:bCs/>
          </w:rPr>
          <w:t>.</w:t>
        </w:r>
        <w:proofErr w:type="spellStart"/>
        <w:r w:rsidR="002F238A" w:rsidRPr="0049223E">
          <w:rPr>
            <w:rStyle w:val="a7"/>
            <w:bCs/>
            <w:lang w:val="en-US"/>
          </w:rPr>
          <w:t>kz</w:t>
        </w:r>
        <w:proofErr w:type="spellEnd"/>
      </w:hyperlink>
      <w:r w:rsidR="002F238A">
        <w:rPr>
          <w:rStyle w:val="a7"/>
          <w:bCs/>
        </w:rPr>
        <w:t xml:space="preserve"> </w:t>
      </w:r>
      <w:r w:rsidR="002F238A">
        <w:rPr>
          <w:bCs/>
        </w:rPr>
        <w:t>31 января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w:t>
      </w:r>
      <w:r w:rsidRPr="00751E22">
        <w:rPr>
          <w:sz w:val="24"/>
          <w:szCs w:val="24"/>
        </w:rPr>
        <w:lastRenderedPageBreak/>
        <w:t xml:space="preserve">(консорциума)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lastRenderedPageBreak/>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lastRenderedPageBreak/>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w:t>
      </w:r>
      <w:r w:rsidRPr="001D495A">
        <w:lastRenderedPageBreak/>
        <w:t xml:space="preserve">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 xml:space="preserve">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w:t>
      </w:r>
      <w:r w:rsidRPr="00D9401E">
        <w:lastRenderedPageBreak/>
        <w:t>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lastRenderedPageBreak/>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 xml:space="preserve">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w:t>
      </w:r>
      <w:r w:rsidRPr="001D495A">
        <w:lastRenderedPageBreak/>
        <w:t>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lastRenderedPageBreak/>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w:t>
      </w:r>
      <w:r w:rsidRPr="005715EE">
        <w:rPr>
          <w:sz w:val="24"/>
          <w:szCs w:val="24"/>
        </w:rPr>
        <w:lastRenderedPageBreak/>
        <w:t xml:space="preserve">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 xml:space="preserve">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w:t>
      </w:r>
      <w:r w:rsidRPr="005715EE">
        <w:rPr>
          <w:bCs/>
        </w:rPr>
        <w:lastRenderedPageBreak/>
        <w:t>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 xml:space="preserve">актов, </w:t>
      </w:r>
      <w:r w:rsidR="00072B61" w:rsidRPr="00792449">
        <w:lastRenderedPageBreak/>
        <w:t>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lastRenderedPageBreak/>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w:t>
      </w:r>
      <w:r w:rsidRPr="00792449">
        <w:rPr>
          <w:rFonts w:ascii="Times New Roman" w:hAnsi="Times New Roman" w:cs="Times New Roman"/>
        </w:rPr>
        <w:lastRenderedPageBreak/>
        <w:t>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82" w:rsidRDefault="00426382" w:rsidP="006462BD">
      <w:r>
        <w:separator/>
      </w:r>
    </w:p>
  </w:endnote>
  <w:endnote w:type="continuationSeparator" w:id="0">
    <w:p w:rsidR="00426382" w:rsidRDefault="00426382"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82" w:rsidRDefault="00426382" w:rsidP="006462BD">
      <w:r>
        <w:separator/>
      </w:r>
    </w:p>
  </w:footnote>
  <w:footnote w:type="continuationSeparator" w:id="0">
    <w:p w:rsidR="00426382" w:rsidRDefault="00426382"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2F238A"/>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D601E"/>
    <w:rsid w:val="003F5493"/>
    <w:rsid w:val="003F556C"/>
    <w:rsid w:val="0040389C"/>
    <w:rsid w:val="0041162E"/>
    <w:rsid w:val="004120C6"/>
    <w:rsid w:val="004165AA"/>
    <w:rsid w:val="00417224"/>
    <w:rsid w:val="00420AF3"/>
    <w:rsid w:val="004212B3"/>
    <w:rsid w:val="00423369"/>
    <w:rsid w:val="0042490A"/>
    <w:rsid w:val="0042595F"/>
    <w:rsid w:val="00426382"/>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A0F0B"/>
    <w:rsid w:val="005B2FB5"/>
    <w:rsid w:val="005B5902"/>
    <w:rsid w:val="005D47BF"/>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6F704C"/>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7764D"/>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2CD5"/>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13F4"/>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9109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4973-6BED-41AB-9E00-2A81FD33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9539</Words>
  <Characters>54374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63786</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8</cp:revision>
  <cp:lastPrinted>2016-12-07T07:33:00Z</cp:lastPrinted>
  <dcterms:created xsi:type="dcterms:W3CDTF">2017-01-30T06:08:00Z</dcterms:created>
  <dcterms:modified xsi:type="dcterms:W3CDTF">2017-01-31T04:44:00Z</dcterms:modified>
</cp:coreProperties>
</file>